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2AA9" w14:textId="77777777" w:rsidR="00154957" w:rsidRDefault="002E139A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DOCUMENTS A PRESENTER LORS</w:t>
      </w:r>
    </w:p>
    <w:p w14:paraId="54CD5921" w14:textId="77777777" w:rsidR="00154957" w:rsidRDefault="002E139A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D’UN CONTROLE DES AUTORITES</w:t>
      </w:r>
    </w:p>
    <w:p w14:paraId="64E1289E" w14:textId="77777777" w:rsidR="00154957" w:rsidRDefault="00154957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14:paraId="2CE0293D" w14:textId="77777777" w:rsidR="00154957" w:rsidRDefault="00154957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14:paraId="2E9ADBF5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EN NAVIGATION SEMI HAUTURIERE</w:t>
      </w:r>
    </w:p>
    <w:p w14:paraId="05F514D5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(moins de 60 miles d’un abri)</w:t>
      </w:r>
    </w:p>
    <w:p w14:paraId="262CE627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2386378B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Acte de francisation</w:t>
      </w:r>
    </w:p>
    <w:p w14:paraId="6F0D8D02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75E78ACC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Livre de bord</w:t>
      </w:r>
    </w:p>
    <w:p w14:paraId="4EC4A4BA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68F04DB5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Attestation d’assurance</w:t>
      </w:r>
    </w:p>
    <w:p w14:paraId="65E2064C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2B1880E1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Licence VHF</w:t>
      </w:r>
    </w:p>
    <w:p w14:paraId="66150776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4FCC1DE5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Livret radeau de sauvetage</w:t>
      </w:r>
    </w:p>
    <w:p w14:paraId="64A3C6D6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7A0FE81D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- Registre de vérification spéciale (document spécifique aux loueurs et aux associations)</w:t>
      </w:r>
    </w:p>
    <w:p w14:paraId="4F48A1B6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3070A2A7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  <w:r>
        <w:rPr>
          <w:rFonts w:ascii="Arial" w:hAnsi="Arial"/>
          <w:b/>
          <w:bCs/>
          <w:color w:val="0000FF"/>
          <w:sz w:val="32"/>
          <w:szCs w:val="32"/>
        </w:rPr>
        <w:tab/>
        <w:t>Tous ces documents se trouvent :</w:t>
      </w:r>
    </w:p>
    <w:p w14:paraId="6C1CAAD8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  <w:r>
        <w:rPr>
          <w:rFonts w:ascii="Arial" w:hAnsi="Arial"/>
          <w:b/>
          <w:bCs/>
          <w:color w:val="0000FF"/>
          <w:sz w:val="32"/>
          <w:szCs w:val="32"/>
        </w:rPr>
        <w:tab/>
        <w:t xml:space="preserve">- sur Nardoa : dans une pochette verte intitulée : </w:t>
      </w:r>
      <w:r>
        <w:rPr>
          <w:rFonts w:ascii="Arial" w:hAnsi="Arial"/>
          <w:b/>
          <w:bCs/>
          <w:color w:val="0000FF"/>
          <w:sz w:val="32"/>
          <w:szCs w:val="32"/>
        </w:rPr>
        <w:tab/>
        <w:t>« Documents du bateau ».</w:t>
      </w:r>
    </w:p>
    <w:p w14:paraId="22D319EE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  <w:r>
        <w:rPr>
          <w:rFonts w:ascii="Arial" w:hAnsi="Arial"/>
          <w:b/>
          <w:bCs/>
          <w:color w:val="0000FF"/>
          <w:sz w:val="32"/>
          <w:szCs w:val="32"/>
        </w:rPr>
        <w:tab/>
        <w:t xml:space="preserve">-sur Adaskell : au début du classeur intitulé </w:t>
      </w:r>
      <w:r>
        <w:rPr>
          <w:rFonts w:ascii="Arial" w:hAnsi="Arial"/>
          <w:b/>
          <w:bCs/>
          <w:color w:val="0000FF"/>
          <w:sz w:val="32"/>
          <w:szCs w:val="32"/>
        </w:rPr>
        <w:tab/>
      </w:r>
    </w:p>
    <w:p w14:paraId="179683E0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  <w:r>
        <w:rPr>
          <w:rFonts w:ascii="Arial" w:hAnsi="Arial"/>
          <w:b/>
          <w:bCs/>
          <w:color w:val="0000FF"/>
          <w:sz w:val="32"/>
          <w:szCs w:val="32"/>
        </w:rPr>
        <w:tab/>
        <w:t>« LIVRET DE PRISE EN MAIN »</w:t>
      </w:r>
    </w:p>
    <w:p w14:paraId="044DD5A3" w14:textId="77777777" w:rsidR="00154957" w:rsidRDefault="00154957">
      <w:pPr>
        <w:pStyle w:val="Standard"/>
        <w:rPr>
          <w:rFonts w:ascii="Arial" w:hAnsi="Arial"/>
          <w:b/>
          <w:bCs/>
          <w:color w:val="FF0000"/>
          <w:sz w:val="36"/>
          <w:szCs w:val="36"/>
        </w:rPr>
      </w:pPr>
    </w:p>
    <w:p w14:paraId="3909769A" w14:textId="77777777" w:rsidR="00154957" w:rsidRDefault="002E139A">
      <w:pPr>
        <w:pStyle w:val="Standard"/>
        <w:rPr>
          <w:rFonts w:ascii="Arial" w:hAnsi="Arial"/>
          <w:b/>
          <w:bCs/>
          <w:color w:val="FF0000"/>
          <w:sz w:val="36"/>
          <w:szCs w:val="36"/>
        </w:rPr>
      </w:pPr>
      <w:r>
        <w:rPr>
          <w:rFonts w:ascii="Arial" w:hAnsi="Arial"/>
          <w:b/>
          <w:bCs/>
          <w:color w:val="FF0000"/>
          <w:sz w:val="36"/>
          <w:szCs w:val="36"/>
        </w:rPr>
        <w:t>- En dehors des eaux territoriales :</w:t>
      </w:r>
    </w:p>
    <w:p w14:paraId="3B17C81D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ab/>
        <w:t>CRR du chef de bord ou d’un membre de l’équipage</w:t>
      </w:r>
    </w:p>
    <w:p w14:paraId="1A64D608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2973AE0D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EN NAVIGATION HAUTURIERE</w:t>
      </w:r>
    </w:p>
    <w:p w14:paraId="55E8E497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(+de 60 miles d’un abri) :</w:t>
      </w:r>
    </w:p>
    <w:p w14:paraId="629653B7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3C166BAC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ab/>
        <w:t>= VHF portative et étanche</w:t>
      </w:r>
    </w:p>
    <w:p w14:paraId="432D774E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4246D2AA" w14:textId="77777777" w:rsidR="00154957" w:rsidRDefault="002E139A">
      <w:pPr>
        <w:pStyle w:val="Standard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ab/>
        <w:t>= Radiobalise de localisation des sinistrés</w:t>
      </w:r>
    </w:p>
    <w:p w14:paraId="320C89BE" w14:textId="77777777" w:rsidR="00154957" w:rsidRDefault="00154957">
      <w:pPr>
        <w:pStyle w:val="Standard"/>
        <w:rPr>
          <w:rFonts w:ascii="Arial" w:hAnsi="Arial"/>
          <w:b/>
          <w:bCs/>
          <w:sz w:val="36"/>
          <w:szCs w:val="36"/>
        </w:rPr>
      </w:pPr>
    </w:p>
    <w:p w14:paraId="260D0A87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28"/>
          <w:szCs w:val="28"/>
        </w:rPr>
      </w:pPr>
      <w:r>
        <w:rPr>
          <w:rFonts w:ascii="Arial" w:hAnsi="Arial"/>
          <w:b/>
          <w:bCs/>
          <w:color w:val="0000FF"/>
          <w:sz w:val="28"/>
          <w:szCs w:val="28"/>
        </w:rPr>
        <w:t>A</w:t>
      </w:r>
      <w:r>
        <w:rPr>
          <w:rFonts w:ascii="Arial" w:hAnsi="Arial"/>
          <w:b/>
          <w:bCs/>
          <w:color w:val="0000FF"/>
          <w:sz w:val="32"/>
          <w:szCs w:val="32"/>
        </w:rPr>
        <w:t xml:space="preserve"> noter : la division 240 préconise un téléphone satellite mais cet équipement n’est pas obligatoire.</w:t>
      </w:r>
    </w:p>
    <w:p w14:paraId="5D59A1FA" w14:textId="77777777" w:rsidR="00154957" w:rsidRDefault="00154957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</w:p>
    <w:p w14:paraId="52A7D1DB" w14:textId="77777777" w:rsidR="00154957" w:rsidRDefault="00154957">
      <w:pPr>
        <w:pStyle w:val="Standard"/>
        <w:rPr>
          <w:rFonts w:ascii="Arial" w:hAnsi="Arial"/>
          <w:b/>
          <w:bCs/>
          <w:color w:val="0000FF"/>
          <w:sz w:val="32"/>
          <w:szCs w:val="32"/>
        </w:rPr>
      </w:pPr>
    </w:p>
    <w:p w14:paraId="0B2A96D4" w14:textId="77777777" w:rsidR="00154957" w:rsidRDefault="002E139A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CONTROLES POUVANT ETRE EFFECTUES</w:t>
      </w:r>
    </w:p>
    <w:p w14:paraId="7BE8F570" w14:textId="77777777" w:rsidR="00154957" w:rsidRDefault="002E139A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PAR LES AUTORITES</w:t>
      </w:r>
    </w:p>
    <w:p w14:paraId="331CD342" w14:textId="77777777" w:rsidR="00154957" w:rsidRDefault="00154957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73E15155" w14:textId="77777777" w:rsidR="00154957" w:rsidRDefault="00154957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25FA1939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28"/>
          <w:szCs w:val="28"/>
        </w:rPr>
      </w:pPr>
      <w:r>
        <w:rPr>
          <w:rFonts w:ascii="Arial" w:hAnsi="Arial"/>
          <w:b/>
          <w:bCs/>
          <w:color w:val="0000FF"/>
          <w:sz w:val="28"/>
          <w:szCs w:val="28"/>
        </w:rPr>
        <w:t>Les autorités peuvent tout contrôler à bord : présence de clandestins, de drogue etc...</w:t>
      </w:r>
    </w:p>
    <w:p w14:paraId="06A6768E" w14:textId="77777777" w:rsidR="00154957" w:rsidRDefault="00154957">
      <w:pPr>
        <w:pStyle w:val="Standard"/>
        <w:rPr>
          <w:rFonts w:ascii="Arial" w:hAnsi="Arial"/>
          <w:b/>
          <w:bCs/>
          <w:color w:val="0000FF"/>
          <w:sz w:val="28"/>
          <w:szCs w:val="28"/>
        </w:rPr>
      </w:pPr>
    </w:p>
    <w:p w14:paraId="3B1EC6B4" w14:textId="77777777" w:rsidR="00154957" w:rsidRDefault="002E139A">
      <w:pPr>
        <w:pStyle w:val="Standard"/>
        <w:rPr>
          <w:rFonts w:ascii="Arial" w:hAnsi="Arial"/>
          <w:b/>
          <w:bCs/>
          <w:color w:val="0000FF"/>
          <w:sz w:val="28"/>
          <w:szCs w:val="28"/>
        </w:rPr>
      </w:pPr>
      <w:r>
        <w:rPr>
          <w:rFonts w:ascii="Arial" w:hAnsi="Arial"/>
          <w:b/>
          <w:bCs/>
          <w:color w:val="0000FF"/>
          <w:sz w:val="28"/>
          <w:szCs w:val="28"/>
        </w:rPr>
        <w:t>Mais en général ils vous demanderont de contrôler tous les éléments de sécurité obligatoires prévus à la division 240 à savoir :</w:t>
      </w:r>
    </w:p>
    <w:p w14:paraId="26B9CC2C" w14:textId="77777777" w:rsidR="00154957" w:rsidRDefault="00154957">
      <w:pPr>
        <w:pStyle w:val="Standard"/>
        <w:rPr>
          <w:rFonts w:ascii="Arial" w:hAnsi="Arial"/>
          <w:b/>
          <w:bCs/>
          <w:color w:val="0000FF"/>
          <w:sz w:val="28"/>
          <w:szCs w:val="28"/>
        </w:rPr>
      </w:pPr>
    </w:p>
    <w:p w14:paraId="40DA7339" w14:textId="4979FA04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Gilets de sauvetage (vérification des dates de péremption des cartouches de gaz et équipés d’un dispositif de repérage de nuit)</w:t>
      </w:r>
    </w:p>
    <w:p w14:paraId="1783373D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Longe pour chaque gilet</w:t>
      </w:r>
    </w:p>
    <w:p w14:paraId="1FEAD75C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Extincteurs</w:t>
      </w:r>
    </w:p>
    <w:p w14:paraId="0F54A0BE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Dispositif d’assèchement manuel</w:t>
      </w:r>
    </w:p>
    <w:p w14:paraId="3CA754F7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Dispositif de remorquage</w:t>
      </w:r>
    </w:p>
    <w:p w14:paraId="7A736D8E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Ligne de mouillage</w:t>
      </w:r>
    </w:p>
    <w:p w14:paraId="393EDB05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Annuaire des marées²</w:t>
      </w:r>
    </w:p>
    <w:p w14:paraId="3B65212A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Bouée fer à cheval ou bouée couronne</w:t>
      </w:r>
    </w:p>
    <w:p w14:paraId="31B613A3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Trois feux rouge à main</w:t>
      </w:r>
    </w:p>
    <w:p w14:paraId="311C23B7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Compas magnétique</w:t>
      </w:r>
    </w:p>
    <w:p w14:paraId="1F92F29B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Cartes marines officielles</w:t>
      </w:r>
    </w:p>
    <w:p w14:paraId="6371F6F4" w14:textId="20EE6096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- Règlement international pour prévenir les abordages </w:t>
      </w:r>
      <w:r>
        <w:rPr>
          <w:rFonts w:ascii="Arial" w:hAnsi="Arial"/>
          <w:b/>
          <w:bCs/>
          <w:color w:val="0000FF"/>
          <w:sz w:val="28"/>
          <w:szCs w:val="28"/>
        </w:rPr>
        <w:t>(bloc marine)</w:t>
      </w:r>
    </w:p>
    <w:p w14:paraId="261BD5E5" w14:textId="67793DDF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- Description du système de balisage </w:t>
      </w:r>
      <w:r>
        <w:rPr>
          <w:rFonts w:ascii="Arial" w:hAnsi="Arial"/>
          <w:b/>
          <w:bCs/>
          <w:color w:val="0000FF"/>
          <w:sz w:val="28"/>
          <w:szCs w:val="28"/>
        </w:rPr>
        <w:t>(bloc marine)</w:t>
      </w:r>
    </w:p>
    <w:p w14:paraId="14E97136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Radeau de survie (contrôle des dates de révision)</w:t>
      </w:r>
    </w:p>
    <w:p w14:paraId="5AA8CEE0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Matériel pour faire le point</w:t>
      </w:r>
    </w:p>
    <w:p w14:paraId="1915524D" w14:textId="75B3B272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- Livre des feux </w:t>
      </w:r>
      <w:r>
        <w:rPr>
          <w:rFonts w:ascii="Arial" w:hAnsi="Arial"/>
          <w:b/>
          <w:bCs/>
          <w:color w:val="FF0000"/>
          <w:sz w:val="28"/>
          <w:szCs w:val="28"/>
        </w:rPr>
        <w:t>(</w:t>
      </w:r>
      <w:r w:rsidR="00434503">
        <w:rPr>
          <w:rFonts w:ascii="Arial" w:hAnsi="Arial"/>
          <w:b/>
          <w:bCs/>
          <w:color w:val="FF0000"/>
          <w:sz w:val="28"/>
          <w:szCs w:val="28"/>
        </w:rPr>
        <w:t>pages 378 à 415 dans le Bloc Marine</w:t>
      </w:r>
      <w:r>
        <w:rPr>
          <w:rFonts w:ascii="Arial" w:hAnsi="Arial"/>
          <w:b/>
          <w:bCs/>
          <w:color w:val="FF0000"/>
          <w:sz w:val="28"/>
          <w:szCs w:val="28"/>
        </w:rPr>
        <w:t>)</w:t>
      </w:r>
    </w:p>
    <w:p w14:paraId="62030F2A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Dispositif de réception des bulletins météo</w:t>
      </w:r>
    </w:p>
    <w:p w14:paraId="2A69AB21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Trousse de secours conforme à l’article 240-2.16</w:t>
      </w:r>
    </w:p>
    <w:p w14:paraId="32D6E7E8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Dispositif lumineux pour la recherche et le repérage de nuit</w:t>
      </w:r>
    </w:p>
    <w:p w14:paraId="798B7DBA" w14:textId="77777777" w:rsidR="00154957" w:rsidRDefault="002E139A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- VHF fixe</w:t>
      </w:r>
    </w:p>
    <w:sectPr w:rsidR="00154957">
      <w:pgSz w:w="11906" w:h="16838"/>
      <w:pgMar w:top="387" w:right="1134" w:bottom="2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83BC" w14:textId="77777777" w:rsidR="002E139A" w:rsidRDefault="002E139A">
      <w:r>
        <w:separator/>
      </w:r>
    </w:p>
  </w:endnote>
  <w:endnote w:type="continuationSeparator" w:id="0">
    <w:p w14:paraId="4EAC7ADD" w14:textId="77777777" w:rsidR="002E139A" w:rsidRDefault="002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39FC" w14:textId="77777777" w:rsidR="002E139A" w:rsidRDefault="002E139A">
      <w:r>
        <w:rPr>
          <w:color w:val="000000"/>
        </w:rPr>
        <w:separator/>
      </w:r>
    </w:p>
  </w:footnote>
  <w:footnote w:type="continuationSeparator" w:id="0">
    <w:p w14:paraId="07DA8D93" w14:textId="77777777" w:rsidR="002E139A" w:rsidRDefault="002E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57"/>
    <w:rsid w:val="00154957"/>
    <w:rsid w:val="002E139A"/>
    <w:rsid w:val="00434503"/>
    <w:rsid w:val="007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0CE"/>
  <w15:docId w15:val="{458D162E-3AEB-4C39-985B-9FD2060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BOUTRON</dc:creator>
  <cp:lastModifiedBy>Christian BOUTRON</cp:lastModifiedBy>
  <cp:revision>4</cp:revision>
  <dcterms:created xsi:type="dcterms:W3CDTF">2024-01-10T10:34:00Z</dcterms:created>
  <dcterms:modified xsi:type="dcterms:W3CDTF">2024-01-12T09:35:00Z</dcterms:modified>
</cp:coreProperties>
</file>